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color w:val="ff0000"/>
          <w:sz w:val="44"/>
          <w:szCs w:val="44"/>
        </w:rPr>
      </w:pPr>
      <w:r w:rsidDel="00000000" w:rsidR="00000000" w:rsidRPr="00000000">
        <w:rPr>
          <w:b w:val="1"/>
          <w:bCs w:val="1"/>
          <w:color w:val="ff0000"/>
          <w:sz w:val="44"/>
          <w:szCs w:val="44"/>
          <w:rtl w:val="0"/>
        </w:rPr>
        <w:t xml:space="preserve">Nominations</w:t>
      </w:r>
    </w:p>
    <w:p w:rsidR="00000000" w:rsidDel="00000000" w:rsidP="00000000" w:rsidRDefault="00000000" w:rsidRPr="00000000" w14:paraId="00000003">
      <w:pPr>
        <w:spacing w:line="360" w:lineRule="auto"/>
        <w:rPr>
          <w:color w:val="ff0000"/>
          <w:sz w:val="40"/>
          <w:szCs w:val="40"/>
        </w:rPr>
      </w:pPr>
      <w:r w:rsidDel="00000000" w:rsidR="00000000" w:rsidRPr="00000000">
        <w:rPr>
          <w:color w:val="ff0000"/>
          <w:sz w:val="40"/>
          <w:szCs w:val="40"/>
          <w:rtl w:val="0"/>
        </w:rPr>
        <w:t xml:space="preserve">Respect Inc Governance Committee (2026–2027)</w:t>
      </w:r>
    </w:p>
    <w:p w:rsidR="00000000" w:rsidDel="00000000" w:rsidP="00000000" w:rsidRDefault="00000000" w:rsidRPr="00000000" w14:paraId="00000004">
      <w:pPr>
        <w:tabs>
          <w:tab w:val="left" w:leader="none" w:pos="226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5.511811023624" w:type="dxa"/>
        <w:jc w:val="left"/>
        <w:tblInd w:w="-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17.755905511812"/>
        <w:gridCol w:w="4517.755905511812"/>
        <w:tblGridChange w:id="0">
          <w:tblGrid>
            <w:gridCol w:w="4517.755905511812"/>
            <w:gridCol w:w="4517.755905511812"/>
          </w:tblGrid>
        </w:tblGridChange>
      </w:tblGrid>
      <w:tr>
        <w:trPr>
          <w:cantSplit w:val="0"/>
          <w:trHeight w:val="54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tabs>
                <w:tab w:val="left" w:leader="none" w:pos="426"/>
              </w:tabs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Candidate &amp; Position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tabs>
                <w:tab w:val="left" w:leader="none" w:pos="426"/>
              </w:tabs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Nominator &amp; Seconder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Candi Forrest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Greater Brisbane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Lulu Holiday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Mikhala Batiste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Elena Jeffries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Greater Brisbane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Mikhala Batiste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Cora Black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Opal Nyx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Greater Brisbane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Mikhala Batiste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Yasmin Kidis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Juliet Adams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Greater Brisbane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Penny Brown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Lulu Holiday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Gold Coast Region 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(including within 100kms of NSW border)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Jessie Abraham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Cairns Region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Mikhala Batiste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Peach Boon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Remote (resides 200kms+ from a Respect Inc office)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  </w:t>
            </w:r>
          </w:p>
        </w:tc>
      </w:tr>
      <w:tr>
        <w:trPr>
          <w:cantSplit w:val="0"/>
          <w:trHeight w:val="550.95703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Trans Woman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 </w:t>
            </w:r>
          </w:p>
        </w:tc>
      </w:tr>
      <w:tr>
        <w:trPr>
          <w:cantSplit w:val="0"/>
          <w:trHeight w:val="580.95703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Trans Man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 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Gender Diverse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 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Asian Language Background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 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Male (with predominantly male clients)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  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Aboriginal and/or Torres Strait Islander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Nominated by 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Seconded by   </w:t>
            </w:r>
          </w:p>
        </w:tc>
      </w:tr>
    </w:tbl>
    <w:p w:rsidR="00000000" w:rsidDel="00000000" w:rsidP="00000000" w:rsidRDefault="00000000" w:rsidRPr="00000000" w14:paraId="0000003C">
      <w:pPr>
        <w:tabs>
          <w:tab w:val="left" w:leader="none" w:pos="2268"/>
        </w:tabs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